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F0" w:rsidRPr="002A2A66" w:rsidRDefault="008E6FC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Dra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ft </w:t>
      </w:r>
      <w:r w:rsidR="002A2A66" w:rsidRPr="002A2A66">
        <w:rPr>
          <w:b/>
          <w:sz w:val="28"/>
          <w:szCs w:val="28"/>
          <w:u w:val="single"/>
        </w:rPr>
        <w:t>Guideline for Neonatal Monograph Template Request (</w:t>
      </w:r>
      <w:r w:rsidR="00E572E5" w:rsidRPr="002A2A66">
        <w:rPr>
          <w:b/>
          <w:sz w:val="28"/>
          <w:szCs w:val="28"/>
          <w:u w:val="single"/>
        </w:rPr>
        <w:t>out of hours use</w:t>
      </w:r>
      <w:r w:rsidR="002A2A66" w:rsidRPr="002A2A66">
        <w:rPr>
          <w:b/>
          <w:sz w:val="28"/>
          <w:szCs w:val="28"/>
          <w:u w:val="single"/>
        </w:rPr>
        <w:t>)</w:t>
      </w:r>
      <w:r w:rsidR="00E572E5" w:rsidRPr="002A2A66">
        <w:rPr>
          <w:b/>
          <w:sz w:val="28"/>
          <w:szCs w:val="28"/>
          <w:u w:val="single"/>
        </w:rPr>
        <w:t xml:space="preserve">. </w:t>
      </w:r>
    </w:p>
    <w:p w:rsidR="00E572E5" w:rsidRDefault="00E572E5">
      <w:r>
        <w:t>The clinical</w:t>
      </w:r>
      <w:r w:rsidRPr="00E572E5">
        <w:t xml:space="preserve"> pharmacy </w:t>
      </w:r>
      <w:r>
        <w:t xml:space="preserve">service on NNU is provided between Monday-Friday 8.45-17.00. Out with this time, it is unlikely that there will be a neonatal trained pharmacist on site and therefore pharmacy cannot safely provide personalised monographs for individual use. </w:t>
      </w:r>
    </w:p>
    <w:p w:rsidR="003969E6" w:rsidRDefault="003969E6">
      <w:r>
        <w:t>If there is an existing monograph for the medication you are administering however the dosing information is diff</w:t>
      </w:r>
      <w:r w:rsidR="00BD5CF5">
        <w:t>erent to that stated, it is</w:t>
      </w:r>
      <w:r w:rsidR="00D4003E">
        <w:t xml:space="preserve"> the prescribing clinican’s responsibility to provide evidence of safety. </w:t>
      </w:r>
    </w:p>
    <w:p w:rsidR="00D4003E" w:rsidRDefault="00D4003E">
      <w:r>
        <w:t xml:space="preserve">This can be provided as : </w:t>
      </w:r>
    </w:p>
    <w:p w:rsidR="00D4003E" w:rsidRDefault="00D4003E" w:rsidP="00D4003E">
      <w:pPr>
        <w:pStyle w:val="ListParagraph"/>
        <w:numPr>
          <w:ilvl w:val="0"/>
          <w:numId w:val="1"/>
        </w:numPr>
      </w:pPr>
      <w:r>
        <w:t xml:space="preserve">A print out of the BNFc dosing information for that specific drug. </w:t>
      </w:r>
    </w:p>
    <w:p w:rsidR="00D4003E" w:rsidRDefault="0032307E" w:rsidP="00D4003E">
      <w:pPr>
        <w:pStyle w:val="ListParagraph"/>
      </w:pPr>
      <w:r>
        <w:t xml:space="preserve"> </w:t>
      </w:r>
      <w:r w:rsidR="00D4003E">
        <w:t xml:space="preserve"> Accessed via: </w:t>
      </w:r>
      <w:hyperlink r:id="rId7" w:history="1">
        <w:r w:rsidR="00D4003E" w:rsidRPr="00D607B2">
          <w:rPr>
            <w:rStyle w:val="Hyperlink"/>
          </w:rPr>
          <w:t>https://bnfc.nice.org.uk/</w:t>
        </w:r>
      </w:hyperlink>
    </w:p>
    <w:p w:rsidR="0032307E" w:rsidRDefault="0032307E" w:rsidP="00D4003E">
      <w:pPr>
        <w:pStyle w:val="ListParagraph"/>
        <w:numPr>
          <w:ilvl w:val="0"/>
          <w:numId w:val="1"/>
        </w:numPr>
      </w:pPr>
      <w:r>
        <w:t xml:space="preserve">West of Scotland Neonatal monograph </w:t>
      </w:r>
    </w:p>
    <w:p w:rsidR="00D4003E" w:rsidRDefault="0032307E" w:rsidP="0032307E">
      <w:pPr>
        <w:pStyle w:val="ListParagraph"/>
      </w:pPr>
      <w:r>
        <w:t xml:space="preserve">Accessed via:  </w:t>
      </w:r>
      <w:r w:rsidRPr="0032307E">
        <w:t>http://www.knowledge.scot.nhs.uk/child-services/communities-of-practice/neonatal-managed-clinical-networks/west-of-scotland/neonatal-drug-formulary-(wos).aspx</w:t>
      </w:r>
    </w:p>
    <w:p w:rsidR="00D4003E" w:rsidRDefault="00D4003E" w:rsidP="00D4003E">
      <w:pPr>
        <w:pStyle w:val="ListParagraph"/>
        <w:numPr>
          <w:ilvl w:val="0"/>
          <w:numId w:val="1"/>
        </w:numPr>
      </w:pPr>
      <w:r>
        <w:t>A clinical paper</w:t>
      </w:r>
      <w:r w:rsidR="003615E7">
        <w:t>/trial with</w:t>
      </w:r>
      <w:r>
        <w:t xml:space="preserve"> the </w:t>
      </w:r>
      <w:r w:rsidR="003615E7">
        <w:t xml:space="preserve">recommended </w:t>
      </w:r>
      <w:r>
        <w:t>dosing regimen</w:t>
      </w:r>
      <w:r w:rsidR="003615E7">
        <w:t xml:space="preserve"> highlighted. </w:t>
      </w:r>
    </w:p>
    <w:p w:rsidR="003615E7" w:rsidRDefault="003615E7" w:rsidP="003615E7">
      <w:r>
        <w:t>If you are asked to administer a drug that there isn’t existing monograph for then a monograph may be comple</w:t>
      </w:r>
      <w:r w:rsidR="002A2A66">
        <w:t xml:space="preserve">ted by the prescribing clinican </w:t>
      </w:r>
      <w:r>
        <w:t xml:space="preserve">using the template overleaf. This monograph should then be signed by the responsible consultant. The following resources been provided to support monograph completion. </w:t>
      </w:r>
      <w:r w:rsidR="00DF49AA">
        <w:t xml:space="preserve"> An updated monograph can then be completed by your clinical pharmacist within working hours if appropriate. </w:t>
      </w:r>
    </w:p>
    <w:p w:rsidR="003615E7" w:rsidRDefault="003615E7" w:rsidP="003615E7">
      <w:pPr>
        <w:rPr>
          <w:b/>
          <w:u w:val="single"/>
        </w:rPr>
      </w:pPr>
      <w:r w:rsidRPr="003615E7">
        <w:rPr>
          <w:b/>
          <w:u w:val="single"/>
        </w:rPr>
        <w:t>Dosing Information</w:t>
      </w:r>
    </w:p>
    <w:p w:rsidR="003615E7" w:rsidRPr="003615E7" w:rsidRDefault="000B2668" w:rsidP="003615E7">
      <w:pPr>
        <w:pStyle w:val="ListParagraph"/>
        <w:numPr>
          <w:ilvl w:val="0"/>
          <w:numId w:val="1"/>
        </w:numPr>
        <w:rPr>
          <w:b/>
          <w:u w:val="single"/>
        </w:rPr>
      </w:pPr>
      <w:hyperlink r:id="rId8" w:history="1">
        <w:r w:rsidR="003615E7" w:rsidRPr="00D607B2">
          <w:rPr>
            <w:rStyle w:val="Hyperlink"/>
          </w:rPr>
          <w:t>https://bnfc.nice.org.uk/</w:t>
        </w:r>
      </w:hyperlink>
    </w:p>
    <w:p w:rsidR="003615E7" w:rsidRPr="003615E7" w:rsidRDefault="000B2668" w:rsidP="003615E7">
      <w:pPr>
        <w:pStyle w:val="ListParagraph"/>
        <w:numPr>
          <w:ilvl w:val="0"/>
          <w:numId w:val="1"/>
        </w:numPr>
        <w:rPr>
          <w:b/>
          <w:u w:val="single"/>
        </w:rPr>
      </w:pPr>
      <w:hyperlink r:id="rId9" w:history="1">
        <w:r w:rsidR="003615E7" w:rsidRPr="00D607B2">
          <w:rPr>
            <w:rStyle w:val="Hyperlink"/>
          </w:rPr>
          <w:t>http://www.knowledge.scot.nhs.uk/child-services/communities-of-practice/neonatal-managed-clinical-networks/west-of-scotland/neonatal-drug-formulary-(wos).aspx</w:t>
        </w:r>
      </w:hyperlink>
    </w:p>
    <w:p w:rsidR="003615E7" w:rsidRPr="003615E7" w:rsidRDefault="003615E7" w:rsidP="003615E7">
      <w:pPr>
        <w:pStyle w:val="ListParagraph"/>
        <w:numPr>
          <w:ilvl w:val="0"/>
          <w:numId w:val="1"/>
        </w:numPr>
      </w:pPr>
      <w:r>
        <w:t xml:space="preserve">A clinical paper/trial  with the recommended dosing regimen highlighted. </w:t>
      </w:r>
    </w:p>
    <w:p w:rsidR="003615E7" w:rsidRPr="003615E7" w:rsidRDefault="003615E7" w:rsidP="003615E7">
      <w:pPr>
        <w:pStyle w:val="ListParagraph"/>
        <w:numPr>
          <w:ilvl w:val="0"/>
          <w:numId w:val="1"/>
        </w:numPr>
        <w:rPr>
          <w:b/>
          <w:u w:val="single"/>
        </w:rPr>
      </w:pPr>
      <w:r>
        <w:t>Oncall pharmacist (accessed via switchboard)</w:t>
      </w:r>
    </w:p>
    <w:p w:rsidR="003615E7" w:rsidRDefault="003615E7" w:rsidP="003615E7">
      <w:pPr>
        <w:rPr>
          <w:b/>
          <w:u w:val="single"/>
        </w:rPr>
      </w:pPr>
      <w:r>
        <w:rPr>
          <w:b/>
          <w:u w:val="single"/>
        </w:rPr>
        <w:t>Reconstitution/Administration</w:t>
      </w:r>
      <w:r w:rsidR="00BD3239">
        <w:rPr>
          <w:b/>
          <w:u w:val="single"/>
        </w:rPr>
        <w:t>/Storage</w:t>
      </w:r>
    </w:p>
    <w:p w:rsidR="00BD3239" w:rsidRDefault="003615E7" w:rsidP="003615E7">
      <w:r>
        <w:t xml:space="preserve">Each box of medicine should contain a </w:t>
      </w:r>
      <w:r w:rsidR="0025710B">
        <w:t xml:space="preserve">Summary of Product </w:t>
      </w:r>
      <w:r w:rsidR="003E628B">
        <w:t>Characteristics</w:t>
      </w:r>
      <w:r w:rsidR="0025710B">
        <w:t xml:space="preserve"> or a </w:t>
      </w:r>
      <w:r>
        <w:t xml:space="preserve">patient information leaflet detailing how to appropriately </w:t>
      </w:r>
      <w:r w:rsidR="00BD3239">
        <w:t xml:space="preserve">store, </w:t>
      </w:r>
      <w:r>
        <w:t xml:space="preserve">reconstitute and administer the medication. </w:t>
      </w:r>
      <w:r w:rsidR="0025710B">
        <w:t xml:space="preserve"> This can also be found for most medicines at </w:t>
      </w:r>
      <w:hyperlink r:id="rId10" w:history="1">
        <w:r w:rsidR="0025710B" w:rsidRPr="004413B5">
          <w:rPr>
            <w:rStyle w:val="Hyperlink"/>
          </w:rPr>
          <w:t>https://www.medicines.org.uk/emc/</w:t>
        </w:r>
      </w:hyperlink>
      <w:r w:rsidR="0025710B">
        <w:t xml:space="preserve"> </w:t>
      </w:r>
    </w:p>
    <w:p w:rsidR="003615E7" w:rsidRDefault="00BD3239" w:rsidP="003615E7">
      <w:r>
        <w:t xml:space="preserve">Alternative resources include: </w:t>
      </w:r>
    </w:p>
    <w:p w:rsidR="003615E7" w:rsidRPr="003615E7" w:rsidRDefault="000B2668" w:rsidP="003615E7">
      <w:pPr>
        <w:pStyle w:val="ListParagraph"/>
        <w:numPr>
          <w:ilvl w:val="0"/>
          <w:numId w:val="1"/>
        </w:numPr>
        <w:rPr>
          <w:b/>
          <w:u w:val="single"/>
        </w:rPr>
      </w:pPr>
      <w:hyperlink r:id="rId11" w:history="1">
        <w:r w:rsidR="003615E7" w:rsidRPr="003615E7">
          <w:rPr>
            <w:rStyle w:val="Hyperlink"/>
          </w:rPr>
          <w:t>https://bnfc.nice.org.uk/</w:t>
        </w:r>
      </w:hyperlink>
    </w:p>
    <w:p w:rsidR="003615E7" w:rsidRDefault="003615E7" w:rsidP="003615E7">
      <w:pPr>
        <w:pStyle w:val="ListParagraph"/>
        <w:numPr>
          <w:ilvl w:val="0"/>
          <w:numId w:val="1"/>
        </w:numPr>
      </w:pPr>
      <w:r w:rsidRPr="003615E7">
        <w:t>NHS Lothian IV guide</w:t>
      </w:r>
    </w:p>
    <w:p w:rsidR="003615E7" w:rsidRDefault="003615E7" w:rsidP="003615E7">
      <w:pPr>
        <w:pStyle w:val="ListParagraph"/>
        <w:numPr>
          <w:ilvl w:val="0"/>
          <w:numId w:val="1"/>
        </w:numPr>
      </w:pPr>
      <w:r>
        <w:t xml:space="preserve">Medusa Paediatric Intravenous Drugs </w:t>
      </w:r>
    </w:p>
    <w:p w:rsidR="00C9731F" w:rsidRDefault="00DF49AA" w:rsidP="003E628B">
      <w:pPr>
        <w:spacing w:after="0"/>
        <w:rPr>
          <w:b/>
          <w:u w:val="single"/>
        </w:rPr>
      </w:pPr>
      <w:r w:rsidRPr="00DF49AA">
        <w:rPr>
          <w:b/>
          <w:u w:val="single"/>
        </w:rPr>
        <w:t>Monitoring requirements</w:t>
      </w:r>
    </w:p>
    <w:p w:rsidR="00C9731F" w:rsidRDefault="00DF49AA" w:rsidP="003E628B">
      <w:pPr>
        <w:pStyle w:val="ListParagraph"/>
        <w:numPr>
          <w:ilvl w:val="0"/>
          <w:numId w:val="1"/>
        </w:numPr>
        <w:spacing w:after="0"/>
      </w:pPr>
      <w:proofErr w:type="spellStart"/>
      <w:r w:rsidRPr="00DF49AA">
        <w:t>BNFc</w:t>
      </w:r>
      <w:proofErr w:type="spellEnd"/>
    </w:p>
    <w:p w:rsidR="00C9731F" w:rsidRDefault="00DF49AA" w:rsidP="003E628B">
      <w:pPr>
        <w:pStyle w:val="ListParagraph"/>
        <w:numPr>
          <w:ilvl w:val="0"/>
          <w:numId w:val="1"/>
        </w:numPr>
        <w:spacing w:after="0"/>
      </w:pPr>
      <w:r>
        <w:lastRenderedPageBreak/>
        <w:t>Patient information leaflet</w:t>
      </w:r>
    </w:p>
    <w:p w:rsidR="00BD3239" w:rsidRP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  <w:r w:rsidRPr="002A2A66">
        <w:rPr>
          <w:rStyle w:val="Strong"/>
          <w:rFonts w:ascii="Century Gothic" w:hAnsi="Century Gothic" w:cs="Arial"/>
          <w:u w:val="single"/>
        </w:rPr>
        <w:t>INDIVIDUAL NEONATAL MONOGRAPH</w:t>
      </w:r>
      <w:r w:rsidR="00374BBB">
        <w:rPr>
          <w:rStyle w:val="Strong"/>
          <w:rFonts w:ascii="Century Gothic" w:hAnsi="Century Gothic" w:cs="Arial"/>
          <w:u w:val="single"/>
        </w:rPr>
        <w:t xml:space="preserve"> for................................................</w:t>
      </w: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BD3239" w:rsidRDefault="000B2668" w:rsidP="00BD3239">
      <w:pPr>
        <w:pStyle w:val="NormalWeb"/>
        <w:tabs>
          <w:tab w:val="left" w:pos="5760"/>
        </w:tabs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  <w:r>
        <w:rPr>
          <w:rFonts w:ascii="Century Gothic" w:hAnsi="Century Gothic" w:cs="Arial"/>
          <w:b/>
          <w:bCs/>
          <w:noProof/>
        </w:rPr>
        <w:pict>
          <v:rect id="Rectangle 4" o:spid="_x0000_s1026" style="position:absolute;left:0;text-align:left;margin-left:24pt;margin-top:8.8pt;width:228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">
            <v:textbox style="mso-next-textbox:#Rectangle 4">
              <w:txbxContent>
                <w:p w:rsidR="002A2A66" w:rsidRDefault="002A2A66">
                  <w:r>
                    <w:t>Affix Patient Label Here</w:t>
                  </w:r>
                </w:p>
              </w:txbxContent>
            </v:textbox>
          </v:rect>
        </w:pict>
      </w:r>
      <w:r w:rsidR="002A2A66">
        <w:rPr>
          <w:rStyle w:val="Strong"/>
          <w:rFonts w:ascii="Century Gothic" w:hAnsi="Century Gothic" w:cs="Arial"/>
        </w:rPr>
        <w:t xml:space="preserve">                                                                      </w:t>
      </w:r>
      <w:r w:rsidR="00BD3239">
        <w:rPr>
          <w:rStyle w:val="Strong"/>
          <w:rFonts w:ascii="Century Gothic" w:hAnsi="Century Gothic" w:cs="Arial"/>
        </w:rPr>
        <w:t xml:space="preserve">Patient’s Weight: </w:t>
      </w: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BD3239" w:rsidRPr="002A2A66" w:rsidRDefault="002A2A66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  <w:u w:val="single"/>
        </w:rPr>
      </w:pPr>
      <w:r w:rsidRPr="002A2A66">
        <w:rPr>
          <w:rStyle w:val="Strong"/>
          <w:rFonts w:ascii="Century Gothic" w:hAnsi="Century Gothic" w:cs="Arial"/>
          <w:u w:val="single"/>
        </w:rPr>
        <w:t xml:space="preserve">Indication </w:t>
      </w: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</w:rPr>
      </w:pPr>
    </w:p>
    <w:p w:rsidR="002A2A66" w:rsidRPr="00667D45" w:rsidRDefault="002A2A66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</w:rPr>
      </w:pPr>
    </w:p>
    <w:p w:rsidR="00BD3239" w:rsidRPr="002A2A66" w:rsidRDefault="002A2A66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  <w:u w:val="single"/>
        </w:rPr>
      </w:pPr>
      <w:r w:rsidRPr="002A2A66">
        <w:rPr>
          <w:rStyle w:val="Strong"/>
          <w:rFonts w:ascii="Century Gothic" w:hAnsi="Century Gothic" w:cs="Arial"/>
          <w:u w:val="single"/>
        </w:rPr>
        <w:t>Dosage</w:t>
      </w: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2A2A66" w:rsidRPr="00667D45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BD3239" w:rsidRPr="002A2A66" w:rsidRDefault="00BD3239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  <w:u w:val="single"/>
        </w:rPr>
      </w:pPr>
      <w:r w:rsidRPr="002A2A66">
        <w:rPr>
          <w:rStyle w:val="Strong"/>
          <w:rFonts w:ascii="Century Gothic" w:hAnsi="Century Gothic" w:cs="Arial"/>
          <w:u w:val="single"/>
        </w:rPr>
        <w:t>A</w:t>
      </w:r>
      <w:r w:rsidR="002A2A66" w:rsidRPr="002A2A66">
        <w:rPr>
          <w:rStyle w:val="Strong"/>
          <w:rFonts w:ascii="Century Gothic" w:hAnsi="Century Gothic" w:cs="Arial"/>
          <w:u w:val="single"/>
        </w:rPr>
        <w:t xml:space="preserve">dministration </w:t>
      </w:r>
      <w:r w:rsidR="002A2A66">
        <w:rPr>
          <w:rStyle w:val="Strong"/>
          <w:rFonts w:ascii="Century Gothic" w:hAnsi="Century Gothic" w:cs="Arial"/>
          <w:u w:val="single"/>
        </w:rPr>
        <w:t>(route)</w:t>
      </w: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2A2A66" w:rsidRPr="00667D45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</w:rPr>
      </w:pPr>
    </w:p>
    <w:p w:rsidR="00BD3239" w:rsidRDefault="00BD3239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  <w:r w:rsidRPr="002A2A66">
        <w:rPr>
          <w:rStyle w:val="Strong"/>
          <w:rFonts w:ascii="Century Gothic" w:hAnsi="Century Gothic" w:cs="Arial"/>
          <w:u w:val="single"/>
        </w:rPr>
        <w:t>R</w:t>
      </w:r>
      <w:r w:rsidR="002A2A66" w:rsidRPr="002A2A66">
        <w:rPr>
          <w:rStyle w:val="Strong"/>
          <w:rFonts w:ascii="Century Gothic" w:hAnsi="Century Gothic" w:cs="Arial"/>
          <w:u w:val="single"/>
        </w:rPr>
        <w:t>econstitution</w:t>
      </w: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  <w:r>
        <w:rPr>
          <w:rStyle w:val="Strong"/>
          <w:rFonts w:ascii="Century Gothic" w:hAnsi="Century Gothic" w:cs="Arial"/>
          <w:u w:val="single"/>
        </w:rPr>
        <w:t>Storage</w:t>
      </w: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Default="002A2A66" w:rsidP="00BD3239">
      <w:pPr>
        <w:pStyle w:val="NormalWeb"/>
        <w:spacing w:before="0" w:beforeAutospacing="0" w:after="0" w:afterAutospacing="0"/>
        <w:ind w:left="720"/>
        <w:rPr>
          <w:rStyle w:val="Strong"/>
          <w:rFonts w:ascii="Century Gothic" w:hAnsi="Century Gothic" w:cs="Arial"/>
          <w:u w:val="single"/>
        </w:rPr>
      </w:pPr>
    </w:p>
    <w:p w:rsidR="002A2A66" w:rsidRPr="002A2A66" w:rsidRDefault="002A2A66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  <w:u w:val="single"/>
        </w:rPr>
      </w:pPr>
      <w:r>
        <w:rPr>
          <w:rStyle w:val="Strong"/>
          <w:rFonts w:ascii="Century Gothic" w:hAnsi="Century Gothic" w:cs="Arial"/>
          <w:u w:val="single"/>
        </w:rPr>
        <w:t xml:space="preserve">Monitoring </w:t>
      </w:r>
    </w:p>
    <w:p w:rsidR="00BD3239" w:rsidRPr="00BD3239" w:rsidRDefault="00BD3239" w:rsidP="00BD3239">
      <w:pPr>
        <w:ind w:left="360"/>
        <w:rPr>
          <w:rFonts w:ascii="Century Gothic" w:hAnsi="Century Gothic"/>
          <w:b/>
        </w:rPr>
      </w:pPr>
    </w:p>
    <w:p w:rsidR="00BD3239" w:rsidRPr="00667D45" w:rsidRDefault="00BD3239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</w:rPr>
      </w:pPr>
    </w:p>
    <w:p w:rsidR="00BD3239" w:rsidRPr="00667D45" w:rsidRDefault="00BD3239" w:rsidP="00BD3239">
      <w:pPr>
        <w:pStyle w:val="NormalWeb"/>
        <w:spacing w:before="0" w:beforeAutospacing="0" w:after="0" w:afterAutospacing="0"/>
        <w:ind w:left="720"/>
        <w:rPr>
          <w:rFonts w:ascii="Century Gothic" w:hAnsi="Century Gothic" w:cs="Arial"/>
          <w:sz w:val="20"/>
          <w:szCs w:val="20"/>
        </w:rPr>
      </w:pPr>
    </w:p>
    <w:p w:rsidR="00BD3239" w:rsidRPr="00667D45" w:rsidRDefault="00BD3239" w:rsidP="002A2A66">
      <w:pPr>
        <w:pStyle w:val="NormalWeb"/>
        <w:spacing w:before="0" w:beforeAutospacing="0" w:after="0" w:afterAutospacing="0"/>
        <w:rPr>
          <w:rStyle w:val="Strong"/>
          <w:rFonts w:ascii="Century Gothic" w:hAnsi="Century Gothic" w:cs="Arial"/>
        </w:rPr>
      </w:pPr>
    </w:p>
    <w:p w:rsidR="00BD3239" w:rsidRPr="00086D1F" w:rsidRDefault="00BD3239" w:rsidP="00BD3239">
      <w:pPr>
        <w:pStyle w:val="Header"/>
        <w:ind w:left="720"/>
        <w:rPr>
          <w:rFonts w:ascii="Arial" w:hAnsi="Arial" w:cs="Arial"/>
        </w:rPr>
      </w:pPr>
    </w:p>
    <w:p w:rsidR="00BD3239" w:rsidRDefault="00BD3239" w:rsidP="00BD3239">
      <w:pPr>
        <w:pStyle w:val="Header"/>
        <w:ind w:left="720"/>
        <w:rPr>
          <w:rFonts w:ascii="Century Gothic" w:hAnsi="Century Gothic"/>
        </w:rPr>
      </w:pPr>
    </w:p>
    <w:p w:rsidR="00BD3239" w:rsidRDefault="00BD3239" w:rsidP="00BD3239">
      <w:pPr>
        <w:pStyle w:val="Header"/>
        <w:ind w:left="720"/>
        <w:rPr>
          <w:rFonts w:ascii="Century Gothic" w:hAnsi="Century Gothic"/>
        </w:rPr>
      </w:pPr>
    </w:p>
    <w:p w:rsidR="00BD3239" w:rsidRDefault="00BD3239" w:rsidP="00BD3239">
      <w:pPr>
        <w:pStyle w:val="Header"/>
        <w:ind w:left="720"/>
        <w:rPr>
          <w:rFonts w:ascii="Century Gothic" w:hAnsi="Century Gothic"/>
        </w:rPr>
      </w:pPr>
    </w:p>
    <w:p w:rsidR="00BD3239" w:rsidRDefault="00BD3239" w:rsidP="00BD3239">
      <w:pPr>
        <w:pStyle w:val="Header"/>
        <w:ind w:left="720"/>
        <w:rPr>
          <w:rFonts w:ascii="Century Gothic" w:hAnsi="Century Gothic"/>
        </w:rPr>
      </w:pPr>
    </w:p>
    <w:p w:rsidR="00BD3239" w:rsidRPr="0076120E" w:rsidRDefault="00BD3239" w:rsidP="0025710B">
      <w:pPr>
        <w:pStyle w:val="Header"/>
        <w:rPr>
          <w:rFonts w:ascii="Century Gothic" w:hAnsi="Century Gothic"/>
        </w:rPr>
      </w:pPr>
    </w:p>
    <w:p w:rsidR="00BD3239" w:rsidRDefault="00BD3239" w:rsidP="00BD3239">
      <w:pPr>
        <w:pStyle w:val="Header"/>
        <w:ind w:left="720"/>
        <w:rPr>
          <w:rFonts w:ascii="Century Gothic" w:hAnsi="Century Gothic"/>
        </w:rPr>
      </w:pPr>
      <w:r>
        <w:rPr>
          <w:rFonts w:ascii="Century Gothic" w:hAnsi="Century Gothic"/>
          <w:b/>
        </w:rPr>
        <w:t>Written</w:t>
      </w:r>
      <w:r w:rsidRPr="00062A32">
        <w:rPr>
          <w:rFonts w:ascii="Century Gothic" w:hAnsi="Century Gothic"/>
          <w:b/>
        </w:rPr>
        <w:t xml:space="preserve"> by</w:t>
      </w:r>
      <w:r>
        <w:rPr>
          <w:rFonts w:ascii="Century Gothic" w:hAnsi="Century Gothic"/>
        </w:rPr>
        <w:t xml:space="preserve"> (Prescriber) …………………………………</w:t>
      </w:r>
      <w:r w:rsidR="002A2A66">
        <w:rPr>
          <w:rFonts w:ascii="Century Gothic" w:hAnsi="Century Gothic"/>
        </w:rPr>
        <w:t>…….</w:t>
      </w:r>
      <w:r>
        <w:rPr>
          <w:rFonts w:ascii="Century Gothic" w:hAnsi="Century Gothic"/>
        </w:rPr>
        <w:t xml:space="preserve">      Date </w:t>
      </w:r>
    </w:p>
    <w:p w:rsidR="00BD3239" w:rsidRDefault="00BD3239" w:rsidP="00BD3239">
      <w:pPr>
        <w:pStyle w:val="Header"/>
        <w:ind w:left="720"/>
        <w:rPr>
          <w:rFonts w:ascii="Century Gothic" w:hAnsi="Century Gothic"/>
        </w:rPr>
      </w:pPr>
    </w:p>
    <w:p w:rsidR="00BD3239" w:rsidRPr="00C511FF" w:rsidRDefault="00BD3239" w:rsidP="00C511FF">
      <w:pPr>
        <w:pStyle w:val="Header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Approved for use by: (Consultant)……………………………………………                                                 </w:t>
      </w:r>
      <w:r w:rsidR="00C511FF">
        <w:rPr>
          <w:rFonts w:ascii="Century Gothic" w:hAnsi="Century Gothic"/>
        </w:rPr>
        <w:t xml:space="preserve">                            </w:t>
      </w:r>
    </w:p>
    <w:p w:rsidR="003615E7" w:rsidRPr="003615E7" w:rsidRDefault="003615E7" w:rsidP="003615E7"/>
    <w:sectPr w:rsidR="003615E7" w:rsidRPr="003615E7" w:rsidSect="00737EF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F9" w:rsidRDefault="00CA71F9" w:rsidP="002A2A66">
      <w:pPr>
        <w:spacing w:after="0" w:line="240" w:lineRule="auto"/>
      </w:pPr>
      <w:r>
        <w:separator/>
      </w:r>
    </w:p>
  </w:endnote>
  <w:endnote w:type="continuationSeparator" w:id="0">
    <w:p w:rsidR="00CA71F9" w:rsidRDefault="00CA71F9" w:rsidP="002A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A66" w:rsidRDefault="002A2A66">
    <w:pPr>
      <w:pStyle w:val="Footer"/>
    </w:pPr>
    <w:r>
      <w:t>Guidance for NNU Monograph Requests OOH                                                                            Version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F9" w:rsidRDefault="00CA71F9" w:rsidP="002A2A66">
      <w:pPr>
        <w:spacing w:after="0" w:line="240" w:lineRule="auto"/>
      </w:pPr>
      <w:r>
        <w:separator/>
      </w:r>
    </w:p>
  </w:footnote>
  <w:footnote w:type="continuationSeparator" w:id="0">
    <w:p w:rsidR="00CA71F9" w:rsidRDefault="00CA71F9" w:rsidP="002A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66B0"/>
    <w:multiLevelType w:val="hybridMultilevel"/>
    <w:tmpl w:val="0482463A"/>
    <w:lvl w:ilvl="0" w:tplc="D2326A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2E5"/>
    <w:rsid w:val="0001729F"/>
    <w:rsid w:val="00041E2F"/>
    <w:rsid w:val="00044D2D"/>
    <w:rsid w:val="000B2668"/>
    <w:rsid w:val="001F02AD"/>
    <w:rsid w:val="00206C46"/>
    <w:rsid w:val="0025710B"/>
    <w:rsid w:val="002A2A66"/>
    <w:rsid w:val="002C3A6D"/>
    <w:rsid w:val="0032307E"/>
    <w:rsid w:val="003615E7"/>
    <w:rsid w:val="00374BBB"/>
    <w:rsid w:val="003969E6"/>
    <w:rsid w:val="003B5C14"/>
    <w:rsid w:val="003E628B"/>
    <w:rsid w:val="00446CDF"/>
    <w:rsid w:val="004B5392"/>
    <w:rsid w:val="004D2F77"/>
    <w:rsid w:val="006C028A"/>
    <w:rsid w:val="00737EF0"/>
    <w:rsid w:val="008E6FCF"/>
    <w:rsid w:val="00AA0D79"/>
    <w:rsid w:val="00B4788E"/>
    <w:rsid w:val="00B63E2F"/>
    <w:rsid w:val="00B91A4B"/>
    <w:rsid w:val="00BD3239"/>
    <w:rsid w:val="00BD5CF5"/>
    <w:rsid w:val="00C511FF"/>
    <w:rsid w:val="00C9731F"/>
    <w:rsid w:val="00CA71F9"/>
    <w:rsid w:val="00D4003E"/>
    <w:rsid w:val="00DF49AA"/>
    <w:rsid w:val="00E572E5"/>
    <w:rsid w:val="00E96EDF"/>
    <w:rsid w:val="00F30C17"/>
    <w:rsid w:val="00F7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0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D32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BD3239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rsid w:val="00BD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BD3239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2A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A66"/>
  </w:style>
  <w:style w:type="paragraph" w:styleId="BalloonText">
    <w:name w:val="Balloon Text"/>
    <w:basedOn w:val="Normal"/>
    <w:link w:val="BalloonTextChar"/>
    <w:uiPriority w:val="99"/>
    <w:semiHidden/>
    <w:unhideWhenUsed/>
    <w:rsid w:val="002A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A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71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fc.nice.org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nfc.nice.org.u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nfc.nice.org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edicines.org.uk/em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ledge.scot.nhs.uk/child-services/communities-of-practice/neonatal-managed-clinical-networks/west-of-scotland/neonatal-drug-formulary-(wos)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Gilfillan</dc:creator>
  <cp:lastModifiedBy>David Quine</cp:lastModifiedBy>
  <cp:revision>3</cp:revision>
  <cp:lastPrinted>2020-03-26T14:42:00Z</cp:lastPrinted>
  <dcterms:created xsi:type="dcterms:W3CDTF">2020-03-26T14:48:00Z</dcterms:created>
  <dcterms:modified xsi:type="dcterms:W3CDTF">2020-03-26T14:49:00Z</dcterms:modified>
</cp:coreProperties>
</file>